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F0" w:rsidRDefault="005460F0" w:rsidP="005460F0">
      <w:pPr>
        <w:widowControl/>
        <w:shd w:val="clear" w:color="auto" w:fill="F9FBFB"/>
        <w:spacing w:line="510" w:lineRule="atLeast"/>
        <w:jc w:val="right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</w:p>
    <w:tbl>
      <w:tblPr>
        <w:tblW w:w="16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14338"/>
      </w:tblGrid>
      <w:tr w:rsidR="005460F0" w:rsidRPr="005460F0" w:rsidTr="005460F0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:rsidR="005460F0" w:rsidRPr="005460F0" w:rsidRDefault="005460F0" w:rsidP="005460F0">
            <w:pPr>
              <w:widowControl/>
              <w:ind w:right="540"/>
              <w:jc w:val="right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 w:val="27"/>
                <w:szCs w:val="27"/>
              </w:rPr>
            </w:pPr>
            <w:r w:rsidRPr="005460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法規名稱：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:rsidR="005460F0" w:rsidRPr="005460F0" w:rsidRDefault="005460F0" w:rsidP="005460F0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hyperlink r:id="rId4" w:history="1">
              <w:r w:rsidRPr="005460F0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原住民</w:t>
              </w:r>
              <w:proofErr w:type="gramStart"/>
              <w:r w:rsidRPr="005460F0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保留地禁伐</w:t>
              </w:r>
              <w:proofErr w:type="gramEnd"/>
              <w:r w:rsidRPr="005460F0">
                <w:rPr>
                  <w:rFonts w:ascii="細明體" w:eastAsia="細明體" w:hAnsi="細明體" w:cs="新細明體" w:hint="eastAsia"/>
                  <w:color w:val="993399"/>
                  <w:kern w:val="0"/>
                  <w:sz w:val="27"/>
                  <w:szCs w:val="27"/>
                </w:rPr>
                <w:t>補償條例</w:t>
              </w:r>
            </w:hyperlink>
            <w:r w:rsidRPr="005460F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 </w:t>
            </w:r>
            <w:hyperlink r:id="rId5" w:history="1">
              <w:r w:rsidRPr="005460F0">
                <w:rPr>
                  <w:rFonts w:ascii="微軟正黑體" w:eastAsia="微軟正黑體" w:hAnsi="微軟正黑體" w:cs="新細明體" w:hint="eastAsia"/>
                  <w:b/>
                  <w:bCs/>
                  <w:color w:val="FFFFFF"/>
                  <w:kern w:val="0"/>
                  <w:sz w:val="22"/>
                </w:rPr>
                <w:t>EN</w:t>
              </w:r>
            </w:hyperlink>
          </w:p>
        </w:tc>
      </w:tr>
      <w:tr w:rsidR="005460F0" w:rsidRPr="005460F0" w:rsidTr="005460F0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:rsidR="005460F0" w:rsidRPr="005460F0" w:rsidRDefault="005460F0" w:rsidP="005460F0">
            <w:pPr>
              <w:widowControl/>
              <w:ind w:right="540"/>
              <w:jc w:val="right"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</w:pPr>
            <w:r w:rsidRPr="005460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修正日期：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:rsidR="005460F0" w:rsidRPr="005460F0" w:rsidRDefault="005460F0" w:rsidP="005460F0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5460F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108 年 12 月 31 日</w:t>
            </w:r>
          </w:p>
        </w:tc>
      </w:tr>
      <w:tr w:rsidR="005460F0" w:rsidRPr="005460F0" w:rsidTr="005460F0"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:rsidR="005460F0" w:rsidRPr="005460F0" w:rsidRDefault="005460F0" w:rsidP="005460F0">
            <w:pPr>
              <w:widowControl/>
              <w:ind w:right="540"/>
              <w:jc w:val="right"/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5460F0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7"/>
                <w:szCs w:val="27"/>
              </w:rPr>
              <w:t>法規類別：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hideMark/>
          </w:tcPr>
          <w:p w:rsidR="005460F0" w:rsidRPr="005460F0" w:rsidRDefault="005460F0" w:rsidP="005460F0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5460F0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行政 ＞ 原住民族委員會 ＞ 土地管理目</w:t>
            </w:r>
          </w:p>
        </w:tc>
      </w:tr>
    </w:tbl>
    <w:bookmarkStart w:id="1" w:name="4"/>
    <w:p w:rsidR="005460F0" w:rsidRPr="005460F0" w:rsidRDefault="005460F0" w:rsidP="005460F0">
      <w:pPr>
        <w:widowControl/>
        <w:shd w:val="clear" w:color="auto" w:fill="F9FBFB"/>
        <w:spacing w:line="510" w:lineRule="atLeast"/>
        <w:jc w:val="right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  <w:r w:rsidRPr="005460F0">
        <w:rPr>
          <w:rFonts w:ascii="細明體" w:eastAsia="細明體" w:hAnsi="細明體" w:cs="新細明體"/>
          <w:color w:val="000000"/>
          <w:kern w:val="0"/>
          <w:sz w:val="27"/>
          <w:szCs w:val="27"/>
        </w:rPr>
        <w:fldChar w:fldCharType="begin"/>
      </w:r>
      <w:r w:rsidRPr="005460F0">
        <w:rPr>
          <w:rFonts w:ascii="細明體" w:eastAsia="細明體" w:hAnsi="細明體" w:cs="新細明體"/>
          <w:color w:val="000000"/>
          <w:kern w:val="0"/>
          <w:sz w:val="27"/>
          <w:szCs w:val="27"/>
        </w:rPr>
        <w:instrText xml:space="preserve"> HYPERLINK "https://law.moj.gov.tw/LawClass/LawSingle.aspx?pcode=D0130032&amp;flno=4" </w:instrText>
      </w:r>
      <w:r w:rsidRPr="005460F0">
        <w:rPr>
          <w:rFonts w:ascii="細明體" w:eastAsia="細明體" w:hAnsi="細明體" w:cs="新細明體"/>
          <w:color w:val="000000"/>
          <w:kern w:val="0"/>
          <w:sz w:val="27"/>
          <w:szCs w:val="27"/>
        </w:rPr>
        <w:fldChar w:fldCharType="separate"/>
      </w:r>
      <w:r w:rsidRPr="005460F0">
        <w:rPr>
          <w:rFonts w:ascii="細明體" w:eastAsia="細明體" w:hAnsi="細明體" w:cs="新細明體" w:hint="eastAsia"/>
          <w:color w:val="993399"/>
          <w:kern w:val="0"/>
          <w:sz w:val="27"/>
          <w:szCs w:val="27"/>
        </w:rPr>
        <w:t>第 4 條</w:t>
      </w:r>
      <w:r w:rsidRPr="005460F0">
        <w:rPr>
          <w:rFonts w:ascii="細明體" w:eastAsia="細明體" w:hAnsi="細明體" w:cs="新細明體"/>
          <w:color w:val="000000"/>
          <w:kern w:val="0"/>
          <w:sz w:val="27"/>
          <w:szCs w:val="27"/>
        </w:rPr>
        <w:fldChar w:fldCharType="end"/>
      </w:r>
      <w:bookmarkEnd w:id="1"/>
    </w:p>
    <w:p w:rsidR="005460F0" w:rsidRPr="005460F0" w:rsidRDefault="005460F0" w:rsidP="005460F0">
      <w:pPr>
        <w:widowControl/>
        <w:shd w:val="clear" w:color="auto" w:fill="F9FBFB"/>
        <w:spacing w:line="510" w:lineRule="atLeast"/>
        <w:jc w:val="right"/>
        <w:rPr>
          <w:rFonts w:ascii="細明體" w:eastAsia="細明體" w:hAnsi="細明體" w:cs="新細明體"/>
          <w:color w:val="000000"/>
          <w:kern w:val="0"/>
          <w:sz w:val="27"/>
          <w:szCs w:val="27"/>
        </w:rPr>
      </w:pPr>
    </w:p>
    <w:p w:rsidR="005460F0" w:rsidRPr="005460F0" w:rsidRDefault="005460F0" w:rsidP="005460F0">
      <w:pPr>
        <w:widowControl/>
        <w:shd w:val="clear" w:color="auto" w:fill="F9FBFB"/>
        <w:spacing w:line="540" w:lineRule="atLeast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申請人應每年</w:t>
      </w:r>
      <w:proofErr w:type="gramStart"/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填具禁伐</w:t>
      </w:r>
      <w:proofErr w:type="gramEnd"/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補償申請書，並檢附下列文件，向原住民保留地所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在地之受理機關申請，受理機關初審通過後，轉請地方執行機關辦理勘查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作業，經確認竹、木覆蓋率七成以上，且無濫墾、濫伐之情事，應予實施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補償之必要者，予以核准：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一、身分證明文件、土地登記簿謄本、地籍圖謄本。但能以電腦完成提供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 xml:space="preserve">    網路查詢者，得免予檢</w:t>
      </w:r>
      <w:proofErr w:type="gramStart"/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附</w:t>
      </w:r>
      <w:proofErr w:type="gramEnd"/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。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二、申請人非土地所有人，應提出他項權利證明書或承租契約書。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前項申請人為各鄉（鎮、市、區）公所原住民保留地使用清冊記載有案之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原住民或其繼承人者，免附土地登記簿謄本。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同一地號土地當年度因限制使用或促進利用，同時符合禁伐補償及其他中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央機關發給獎勵金、補償或補助之規定，僅得擇</w:t>
      </w:r>
      <w:proofErr w:type="gramStart"/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一</w:t>
      </w:r>
      <w:proofErr w:type="gramEnd"/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申請。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前條所定合法使用權人之資格與第一項審查申請補償之對象、程序、期程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lastRenderedPageBreak/>
        <w:t>、認定基準及其他相關事項之辦法，由主管機關會同中央林政主管機關定</w:t>
      </w:r>
      <w:r w:rsidRPr="005460F0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之。</w:t>
      </w:r>
    </w:p>
    <w:p w:rsidR="00C1131E" w:rsidRPr="005460F0" w:rsidRDefault="00C1131E" w:rsidP="005460F0"/>
    <w:sectPr w:rsidR="00C1131E" w:rsidRPr="005460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F0"/>
    <w:rsid w:val="005460F0"/>
    <w:rsid w:val="00C1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2696A-9320-4E83-B58E-E266033B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0F0"/>
    <w:rPr>
      <w:color w:val="0000FF"/>
      <w:u w:val="single"/>
    </w:rPr>
  </w:style>
  <w:style w:type="character" w:customStyle="1" w:styleId="label-eng">
    <w:name w:val="label-eng"/>
    <w:basedOn w:val="a0"/>
    <w:rsid w:val="0054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3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w.moj.gov.tw/ENG/LawClass/LawAll.aspx?pcode=D0130032" TargetMode="External"/><Relationship Id="rId4" Type="http://schemas.openxmlformats.org/officeDocument/2006/relationships/hyperlink" Target="https://law.moj.gov.tw/LawClass/LawAll.aspx?pcode=D01300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</dc:creator>
  <cp:keywords/>
  <dc:description/>
  <cp:lastModifiedBy>Daren</cp:lastModifiedBy>
  <cp:revision>1</cp:revision>
  <dcterms:created xsi:type="dcterms:W3CDTF">2020-12-29T04:47:00Z</dcterms:created>
  <dcterms:modified xsi:type="dcterms:W3CDTF">2020-12-29T04:50:00Z</dcterms:modified>
</cp:coreProperties>
</file>